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August 3, 2016, 7pm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Board Members Present: Rick, Bill, Tommy, Diana, David</w:t>
      </w:r>
    </w:p>
    <w:p w:rsidR="00000000" w:rsidDel="00000000" w:rsidP="00000000" w:rsidRDefault="00000000" w:rsidRPr="00000000">
      <w:pPr>
        <w:contextualSpacing w:val="0"/>
      </w:pPr>
      <w:r w:rsidDel="00000000" w:rsidR="00000000" w:rsidRPr="00000000">
        <w:rPr>
          <w:rtl w:val="0"/>
        </w:rPr>
        <w:t xml:space="preserve">Guest: Brenda McCool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Treasurer report: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7 or 8 homeowners still owe for 2016 dues.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$100 to Gonzalez United Methodist Church of annual meeting fee.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Chuck Zimmerman will be contacted regarding the website being completely updated before paying him.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Entertain off on fence area clean-up by Jacob Night $650-$700.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Architectural:</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Todd Nielson - Last notice of foreclosure formally sent by attorney. Motion to proceed with foreclosure.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Howells - Contacted board regarding neighbors. Diana will call plumbing company regarding the parking of truck in Smith’s driveway.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 letter will be sent regarding to jog their memory of deed restrictions and covenants. Animal control should be called regarding the dogs.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Book house for the neighborhood was constructed by the McCool family and will be monitored and maintained by them. It is to be placed in the common area of Turnberry and Kings Road.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New board members are needed. Two notifications of meeting will be sent out to homeowners regarding the annual meeting on Nobember 1,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adjourned 8:00pm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Next meeting at Diana Smith’s home, September 6th, 7pm.</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